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EC3" w:rsidRPr="00B17EC3" w:rsidRDefault="00B17EC3" w:rsidP="00B17EC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564703-N-2018 z dnia 2018-05-28 r. </w:t>
      </w:r>
    </w:p>
    <w:p w:rsidR="00B17EC3" w:rsidRPr="00B17EC3" w:rsidRDefault="00B17EC3" w:rsidP="00B17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Kurzętnik: „Modernizacja oświetlenia ulicznego w miejscowości Brzozie Lubawskie – II etap”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Kurzętnik, krajowy numer identyfikacyjny 53826000000, ul. ul. Grunwaldzka  39 , 13306   Kurzętnik, woj. warmińsko-mazurskie, państwo Polska, tel. 056 4740515, 056 4748282, e-mail zppf@kurzetnik.pl, faks 564 748 284.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http://bip.kurzetnik.warmia.mazury.pl/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B17E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http://bip.kurzetnik.warmia.mazury.pl/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http://bip.kurzetnik.warmia.mazury.pl/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pisemnie - Składanie ofert odbywa się za pośrednictwem operatora pocztowego w rozumieniu ustawy z dn. 23.11.2012r. Prawo pocztowe, osobiście lub za pośrednictwem posłańca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Urząd Gminy Kurzętnik ul. Grunwaldzka 39, 13-306 Kurzętnik, pokój nr 6 (Punkt Obsługi Interesanta)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„Modernizacja oświetlenia ulicznego w miejscowości Brzozie Lubawskie – II etap”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IRG.271.46.2018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B17EC3" w:rsidRPr="00B17EC3" w:rsidRDefault="00B17EC3" w:rsidP="00B1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B17E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polegające na budowie linii kablowej oświetlenia drogowego ze słupami i oprawami oświetleniowymi. Projektowaną linię kablową należy układać w ziemi zgodnie z Polską Normą PN-76/E05125. W trasie kabla zabudować 49 słupy oświetleniowe stalowe o wysokości 6 metrów. Na projektowanych 49 słupach oświetleniowych zamontować oprawy oświetleniowe LED o mocy 35W - 49 sztuk łącznie. Projektowana jest również szafka oświetleniowa, z której zasilane będą lampy oświetlenia. Szafkę należy zlokalizować obok złącza pomiarowego, które wykona Rejon Dystrybucji w Brodnicy. Wykonawca przed przystąpieniem do przetargu powinien sprawdzić daną inwestycję w terenie i określić wszelkie wymagane prace związane z danym kontraktem. Do kalkulacji ceny ryczałtowej należy przeanalizować wszystkie dołączone dokumenty do SIWZ.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45310000-3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B17EC3" w:rsidRPr="00B17EC3" w:rsidTr="00B17E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EC3" w:rsidRPr="00B17EC3" w:rsidRDefault="00B17EC3" w:rsidP="00B1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17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B17EC3" w:rsidRPr="00B17EC3" w:rsidTr="00B17E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EC3" w:rsidRPr="00B17EC3" w:rsidRDefault="00B17EC3" w:rsidP="00B1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17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45100000-8</w:t>
            </w:r>
          </w:p>
        </w:tc>
      </w:tr>
      <w:tr w:rsidR="00B17EC3" w:rsidRPr="00B17EC3" w:rsidTr="00B17E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EC3" w:rsidRPr="00B17EC3" w:rsidRDefault="00B17EC3" w:rsidP="00B1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17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34928510-6</w:t>
            </w:r>
          </w:p>
        </w:tc>
      </w:tr>
    </w:tbl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B17E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</w:t>
      </w:r>
      <w:proofErr w:type="spellStart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 i 7 lub w art. 134 ust. 6 </w:t>
      </w:r>
      <w:proofErr w:type="spellStart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 ustawy </w:t>
      </w:r>
      <w:proofErr w:type="spellStart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lub w art. 134 ust. 6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B17E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17E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2018-09-14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stawia szczególnych wymagań w zakresie opisu spełniania tego warunku udziału w postępowaniu.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przedstawi kserokopię polisy, opłaconą, w przypadku jej braku innego dokumentu potwierdzającego, że wykonawca jest ubezpieczony od odpowiedzialności cywilnej w zakresie prowadzonej działalności gospodarczej z minimalną sumą gwarancyjną na jedno i wszystkie zdarzenia wysokości na wartość co najmniej co najmniej 200.000 PLN. (dwieście tysięcy złotych).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Warunek ten, w zakresie doświadczenia, zostanie uznany za spełniony, jeżeli Wykonawca wykaże wykonanie w ciągu ostatnich pięciu lat, przed upływem terminu składania ofert, a jeżeli okres działalności jest krótszy – w tym okresie, minimum jednej roboty budowlanej polegających na budowie oświetlenia ulicznego, o wartości nie mniejszej niż 150.000,00 zł. brutto każda. Dołączyć do każdej wykonanej roboty dowody określające czy te roboty budowlane zostały wykonane należycie, w szczególności informacji o tym czy roboty zostały wykonane zgodnie z przepisami prawa budowlanego i prawidłowo ukończone) polegającą na budowie lub przebudowie [definicje zgodne z art.3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6, 7a ustawy Prawo budowlane (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2017 r. poz. 1332 z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zm.). Wykonawca nie może sumować wartości kilku robót o mniejszym zakresie dla uzyskania wymaganej wartości. (załącznik Nr 4 do SIWZ) Uwaga!!!: -W przypadku gdy jakakolwiek wartość dotycząca ww. warunku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wyrażona będzie w walucie obcej, Zamawiający przeliczy tę wartość na podstawie średniego kursu walut NBP dla danej waluty z daty wszczęcia postępowania o udzielenie zamówienia publicznego (za datę wszczęcia postępowania Zamawiający uznaje datę umieszczenia ogłoszenia o zamówieniu na stronie internetowej). Jeżeli w tym dniu nie będzie opublikowany średni kurs NBP, zamawiający przyjmie kurs średni z ostatniej tabeli przed wszczęciem postępowania. 3.2 Zamawiający nie stawia warunku w zakresie dysponowania potencjałem technicznym. 3.3 Warunek ten, w zakresie osób skierowanych przez wykonawcę do realizacji zamówienia, zostanie uznany za spełniony, jeśli Wykonawca wykaże, że dysponuje co najmniej: a) jedną osobą, posiadającą doświadczenie zawodowe w zakresie kierowania robotami branży elektrycznej oraz posiadającej uprawnienia do wykonywania samodzielnych funkcji w budownictwie, w nieograniczonym zakresie, w specjalności instalacyjnej w zakresie sieci, instalacji i urządzeń elektrycznych, która będzie pełniła funkcję kierownika robót elektrycznych, 5 lat stażu pracy zawodowej, w tym min. 2 lata jako kierownik budowy Wykształcenie wyższe lub średnie Uwaga: Zamawiający uzna uprawnienia wydane na podstawie wcześniej obowiązujących przepisów, odpowiadające uprawnieniom wskazanym powyżej)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Tak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odpis z właściwego rejestru lub z centralnej ewidencji i informacji o działalności gospodarczej, jeżeli odrębne przepisy wymagają wpisu do rejestru lub ewidencji, w celu wykazania braku podstaw do wykluczenia w oparciu o art. 24 ust. 5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ustawy. wystawione nie wcześniej niż 6 miesiące przed upływem terminu składania ofert b) zaświadczenie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właściwego naczelnika urzędu skarbowego potwierdzające, że wykonawca nie zalega z opłacaniem podatków, wystawione nie wcześniej niż 3 miesiące przed upływem terminu składania ofert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c)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wystawione nie wcześniej niż 3 miesiące przed upływem terminu składania ofert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wykaz robót budowlanych wykonanych nie wcześniej niż w okresie ostatnich pięciu lat przed upływem terminu składania ofert, a jeżeli okres prowadzenia działalności jest krótszy - w tym okresie, wraz z podaniem ich rodzaju, w tym okresie, minimum jednej roboty budowlanej polegających na budowie oświetlenia ulicznego, o wartości nie mniejszej niż 150.000,00 zł. brutto każda.– załącznik nr 4,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uzasadnionych przyczyn o obiektywnym charakterze wykonawca nie jest w stanie uzyskać tych dokumentów – inne dokumenty, b) wykaz osób, skierowanych przez wykonawcę do realizacji zamówienia publicznego, w szczególności odpowiedzialnych za świadczenie usług kierowania robotami branży elektrycznej, wraz z informacjami na temat ich kwalifikacji zawodowych, uprawnień, doświadczenia i wykształcenia niezbędnych do wykonania zamówienia publicznego, a także zakresu wykonanych przez nie czynności oraz informacją o podstawie do dysponowania tymi osobami – załącznik nr 8. c) przedstawi kserokopię polisy (opłaconą), w przypadku jej braku innego dokumentu potwierdzającego, że wykonawca jest ubezpieczony od odpowiedzialności cywilnej w zakresie prowadzonej działalności gospodarczej z minimalną sumą gwarancyjną na jedno i wszystkie zdarzenia wysokości na wartość co najmniej co najmniej 200.000 PLN. (dwieście tysięcy złotych).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wykaz robót budowlanych wykonanych nie wcześniej niż w okresie ostatnich pięciu lat przed upływem terminu składania ofert, a jeżeli okres prowadzenia działalności jest krótszy - w tym okresie, wraz z podaniem ich rodzaju, w tym okresie, minimum jednej roboty budowlanej polegających na budowie oświetlenia ulicznego, o wartości nie mniejszej niż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150.000,00 zł. brutto każda.– załącznik nr 4,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uzasadnionych przyczyn o obiektywnym charakterze wykonawca nie jest w stanie uzyskać tych dokumentów – inne dokumenty,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</w:t>
      </w:r>
      <w:proofErr w:type="spellStart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III.3) - III.6)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 oferty, Wraz z formularzem oferty należy złożyć: a) Oświadczenie, że na dzień składania ofert wykonawca nie podlega wykluczeniu z postępowania i spełnia warunki udziału w postępowaniu. Informacje zawarte w oświadczeniu będą stanowić wstępne potwierdzenie, że wykonawca nie podlega wykluczeniu oraz spełnia warunki udziału w postępowaniu – załączniki nr 6 i 7 do SIWZ. b) Potwierdzenie zapłaty wadium. Jeżeli Wykonawca ma siedzibę lub miejsce zamieszkania poza terytorium Rzeczypospolitej Polskiej zamiast dokumentów: 1) o których mowa w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13.2.1. składa dokument lub dokumenty wystawione w kraju, w którym ma siedzibę lub miejsce zamieszkania, potwierdzające odpowiednio, że: (a) nie otwarto jego likwidacji ani nie ogłoszono upadłości, (b) nie zalega z uiszczeniem podatków, opłat, składek na ubezpieczenie społeczne lub zdrowotne albo, że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 2) odpis z właściwego rejestru lub z centralnej ewidencji i informacji o działalności gospodarczej jeżeli odrębne przepisy wymagają wpisu do rejestru lub ewidencji – w celu potwierdzenia braku podstaw do wykluczenia na podstawie art. 24 ust. 5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ustawy.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Przystępując do niniejszego postępowania każdy Wykonawca zobowiązany jest wnieść wadium w wysokości 5.000,00 PLN (słownie: pięć tysięcy złotych). 2. Wykonawca może wnieść wadium jednej lub kilku formach przewidzianych w art. 45 ust. 6 ustawy, tj.: 1) pieniądzu, 2) poręczeniach bankowych lub poręczeniach spółdzielczej kasy oszczędnościowo – kredytowej, z tym że poręczenie kasy jest zawsze poręczeniem pieniężnym, 3) gwarancjach bankowych, 4) gwarancjach ubezpieczeniowych, 5) poręczeniach udzielanych przez podmioty, o których mowa w art. 6 b ust. 5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 z dnia 9 listopada 2000r., o utworzeniu Polskiej Agencji Rozwoju Przedsiębiorczości (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2014r. poz. 1804 oraz z 2015 r. poz. 978 i 1240). 3. Wykonawca zobowiązany jest wnieść wadium przed upływem terminu składania ofert. 4. Wadium w pieniądzu należy wnieść przelewem na konto Zamawiającego: Bank Spółdzielczy w Brodnicy Oddział w Nowym Mieście Lubawskim Nr 39 9484 1121 2004 0090 0983 0019 z dopiskiem wadium w postępowaniu na „Modernizacja oświetlenia ulicznego w miejscowości Brzozie Lubawskie – II etap” 5. W przypadku wadium wnoszonego w pieniądzu, jako termin wniesienia wadium przyjęty zostaje termin uznania kwoty na rachunku Zamawiającego. 6. Wadium wnoszone w pieniądzu wpłaca się przelewem na rachunek bankowy wskazany przez zamawiającego - art. 45 ust 7 ustawy prawo zamówień publicznych 7. Z treści gwarancji/poręczenia winno wynikać bezwarunkowe, na każde pisemne żądanie zgłoszone przez Zamawiającego w terminie związania ofertą, zobowiązanie Gwaranta do wypłaty Zamawiającemu pełnej kwoty wadium w okolicznościach określonych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art. 46 ust. 4a i 5 ustawy PZP. 8. Okoliczności i zasady zwrotu wadium, jego przepadku oraz zasady jego zaliczenia na poczet zabezpieczenia należytego wykonania umowy określa ustawa PZP. 9. W przypadku wadium wniesionym w gwarancji bankowych, gwarancji ubezpieczeniowych, poręczeniach udzielanych przez podmioty, o których mowa w art. 6 b ust. 5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 z dnia 9 listopada 2000r., o utworzeniu Polskiej Agencji Rozwoju Przedsiębiorczości (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2014r. poz. 1804 oraz z 2015 r. poz. 978 i 1240). Oryginał takiego wadium można złożyć w Kasie w Urzędzie Gminy w Kurzętniku pokój nr 12.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Adres strony internetowej, na której będą zamieszczone dodatkowe informacje dotyczące dynamicznego systemu zakupów: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B17E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6"/>
        <w:gridCol w:w="1016"/>
      </w:tblGrid>
      <w:tr w:rsidR="00B17EC3" w:rsidRPr="00B17EC3" w:rsidTr="00B17E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EC3" w:rsidRPr="00B17EC3" w:rsidRDefault="00B17EC3" w:rsidP="00B1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17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EC3" w:rsidRPr="00B17EC3" w:rsidRDefault="00B17EC3" w:rsidP="00B1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17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17EC3" w:rsidRPr="00B17EC3" w:rsidTr="00B17E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EC3" w:rsidRPr="00B17EC3" w:rsidRDefault="00B17EC3" w:rsidP="00B1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17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EC3" w:rsidRPr="00B17EC3" w:rsidRDefault="00B17EC3" w:rsidP="00B1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17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17EC3" w:rsidRPr="00B17EC3" w:rsidTr="00B17E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EC3" w:rsidRPr="00B17EC3" w:rsidRDefault="00B17EC3" w:rsidP="00B1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17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rękojmi za wady i gwarancji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EC3" w:rsidRPr="00B17EC3" w:rsidRDefault="00B17EC3" w:rsidP="00B1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17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IV.3.1) Informacje na temat negocjacji z ogłoszeniem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Termin składania wniosków o dopuszczenie do udziału w licytacji elektronicznej: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17EC3" w:rsidRPr="00B17EC3" w:rsidRDefault="00B17EC3" w:rsidP="00B1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 Zamawiający przewiduje możliwość dokonania zmiany umowy. Zamawiający działając w oparciu o art. 144 ust 1 ustawy Prawo zamówień publicznych określa następujące okoliczności, które mogą powodować konieczność wprowadzenia zmian w treści zawartej umowy w stosunku do treści złożonej oferty: 1) wystąpienia okoliczności, których nie można było przewidzieć pomimo zachowania należytej staranności (np. ewentualne wykopaliska archeologiczne, dodatkowych badań i ekspertyz, analiz itp. ). 2) zmiany terminu realizacji umowy w przypadku zawieszenia robót przez Zamawiającego, 3) zmiany terminu realizacji umowy w przypadku zmiany dokumentacji projektowej o czas niezbędny dla dostosowania się wykonawcy do zmiany 4) zmiany terminu realizacji umowy w przypadku wykonania robót zamiennych, 5) zmiany terminu realizacji umowy w przypadku wystąpienia przestojów i opóźnień zawinionych przez Zamawiającego, 6) zmiany terminu realizacji umowy w przypadku działania siły wyższej tj. wyjątkowego zdarzenia lub okoliczności (np. przeszkód atmosferycznych o charakterze katastrofy) – nie uważa się za czynnik zakłócający wpływ czynników atmosferycznych w czasie realizacji robót, który przy składaniu oferty musi być normalnie brany pod uwagę 7) zmiany terminu realizacji umowy w przypadku nieterminowego przekazania terenu budowy, 8) zmiany terminu realizacji umowy w przypadku wyjątkowo niesprzyjających warunków fizycznych – atmosferycznych- fakt ten musi mieć odzwierciedlenie w dzienniku budowy i musi być potwierdzony przez inspektora nadzoru, 9) zmiany terminu realizacji umowy w przypadku epidemii, działań rządowych, 10) zmiany terminu na skutek działań osób trzecich lub organów władzy publicznej, które spowodują przerwanie lub czasowe zawieszenie realizacji zamówienia. 11) w przypadku urzędowej zmiany stawki VAT, 12) zmiany osób odpowiedzialnych za kontakty i nadzór nad realizacją przedmiotu umowy. Zmiana którejkolwiek osób w trakcie realizacji przedmiotu niniejszej umowy, musi być uzasadniona przez Wykonawcę na piśmie i wymaga pisemnego zaakceptowania przez Zamawiającego. Zamawiający zaakceptuje taką zmianę w terminie 7 dni od daty przedłożenia propozycji i wyłącznie wtedy, gdy kwalifikacje i doświadczenie wskazanych osób będą takie same lub wyższe od kwalifikacji i doświadczenia osób wymaganego postanowieniami specyfikacji istotnych warunków zamówienia, 13) wystąpienia oczywistych omyłek pisarskich i rachunkowych w treści umowy. 14) Ograniczenie zakresu robót wynikające z wprowadzenia zmian istotnych lub nieistotnych w rozumieniu Prawa budowlanego w dokumentacji projektowej, które wynikły w trakcie realizacji robót i były konieczne w celu prawidłowej realizacji przedmiotu zamówienia. 15) Zmiany terminu realizacji umowy na skutek przedłużającej się procedury przetargowej. 16) W innych przypadkach wskazanych w projekcie umowy, stanowiącym integralną część SIWZ. . W przypadkach wystąpienia okoliczności określonych w </w:t>
      </w:r>
      <w:proofErr w:type="spellStart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1-16 strony ustalą nowe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terminy realizacji z tym, że okres przesunięcia terminu zakończenia równy będzie okresowi przerwy lub postoju.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B17E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2018-06-13, godzina: 11:30,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7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17EC3" w:rsidRPr="00B17EC3" w:rsidRDefault="00B17EC3" w:rsidP="00B17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E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B033F9" w:rsidRDefault="00B033F9"/>
    <w:p w:rsidR="00B17EC3" w:rsidRDefault="00B17EC3"/>
    <w:p w:rsidR="00B17EC3" w:rsidRDefault="00B17EC3"/>
    <w:p w:rsidR="00B17EC3" w:rsidRPr="000406F1" w:rsidRDefault="00B17EC3" w:rsidP="00B17EC3">
      <w:pPr>
        <w:pStyle w:val="Tekstprzypisudolnego"/>
        <w:ind w:left="495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pl-PL"/>
        </w:rPr>
        <w:t xml:space="preserve">             </w:t>
      </w:r>
      <w:r w:rsidR="00624656">
        <w:rPr>
          <w:rFonts w:ascii="Arial Narrow" w:hAnsi="Arial Narrow"/>
          <w:b/>
          <w:sz w:val="22"/>
          <w:szCs w:val="22"/>
        </w:rPr>
        <w:t>Wójt</w:t>
      </w:r>
      <w:r w:rsidRPr="000406F1">
        <w:rPr>
          <w:rFonts w:ascii="Arial Narrow" w:hAnsi="Arial Narrow"/>
          <w:b/>
          <w:sz w:val="22"/>
          <w:szCs w:val="22"/>
        </w:rPr>
        <w:t xml:space="preserve"> Gminy Kurzętnik</w:t>
      </w:r>
    </w:p>
    <w:p w:rsidR="00B17EC3" w:rsidRPr="000406F1" w:rsidRDefault="00B17EC3" w:rsidP="00B17EC3">
      <w:pPr>
        <w:pStyle w:val="Tekstprzypisudolnego"/>
        <w:rPr>
          <w:rFonts w:ascii="Arial Narrow" w:hAnsi="Arial Narrow"/>
          <w:b/>
          <w:sz w:val="22"/>
          <w:szCs w:val="22"/>
        </w:rPr>
      </w:pPr>
    </w:p>
    <w:p w:rsidR="00B17EC3" w:rsidRPr="000406F1" w:rsidRDefault="00B17EC3" w:rsidP="00B17EC3">
      <w:pPr>
        <w:pStyle w:val="pkt"/>
        <w:spacing w:before="0" w:after="0" w:line="240" w:lineRule="auto"/>
        <w:ind w:left="3540" w:firstLine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0406F1">
        <w:rPr>
          <w:rFonts w:ascii="Arial Narrow" w:hAnsi="Arial Narrow"/>
          <w:b/>
          <w:sz w:val="22"/>
          <w:szCs w:val="22"/>
        </w:rPr>
        <w:t xml:space="preserve">            </w:t>
      </w:r>
      <w:r>
        <w:rPr>
          <w:rFonts w:ascii="Arial Narrow" w:hAnsi="Arial Narrow"/>
          <w:b/>
          <w:sz w:val="22"/>
          <w:szCs w:val="22"/>
        </w:rPr>
        <w:t xml:space="preserve">Wojciech </w:t>
      </w:r>
      <w:proofErr w:type="spellStart"/>
      <w:r>
        <w:rPr>
          <w:rFonts w:ascii="Arial Narrow" w:hAnsi="Arial Narrow"/>
          <w:b/>
          <w:sz w:val="22"/>
          <w:szCs w:val="22"/>
        </w:rPr>
        <w:t>Dereszewski</w:t>
      </w:r>
      <w:proofErr w:type="spellEnd"/>
    </w:p>
    <w:p w:rsidR="00B17EC3" w:rsidRDefault="00B17EC3"/>
    <w:sectPr w:rsidR="00B17EC3" w:rsidSect="00B03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7EC3"/>
    <w:rsid w:val="00624656"/>
    <w:rsid w:val="00B033F9"/>
    <w:rsid w:val="00B1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3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B17EC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17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17EC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5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4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0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9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4333</Words>
  <Characters>25998</Characters>
  <Application>Microsoft Office Word</Application>
  <DocSecurity>0</DocSecurity>
  <Lines>216</Lines>
  <Paragraphs>60</Paragraphs>
  <ScaleCrop>false</ScaleCrop>
  <Company/>
  <LinksUpToDate>false</LinksUpToDate>
  <CharactersWithSpaces>30271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2</cp:revision>
  <dcterms:created xsi:type="dcterms:W3CDTF">2018-05-28T10:03:00Z</dcterms:created>
  <dcterms:modified xsi:type="dcterms:W3CDTF">2018-05-28T10:05:00Z</dcterms:modified>
</cp:coreProperties>
</file>